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80" w:rsidRPr="00377D80" w:rsidRDefault="00377D80" w:rsidP="00377D80">
      <w:pPr>
        <w:widowControl/>
        <w:spacing w:afterLines="50" w:after="156" w:line="360" w:lineRule="auto"/>
        <w:ind w:firstLineChars="200" w:firstLine="482"/>
        <w:jc w:val="left"/>
        <w:outlineLvl w:val="0"/>
        <w:rPr>
          <w:rFonts w:ascii="宋体" w:eastAsia="宋体" w:hAnsi="宋体" w:cs="Arial"/>
          <w:b/>
          <w:color w:val="000000"/>
          <w:kern w:val="36"/>
          <w:sz w:val="24"/>
          <w:szCs w:val="24"/>
        </w:rPr>
      </w:pPr>
      <w:r>
        <w:rPr>
          <w:rFonts w:ascii="宋体" w:eastAsia="宋体" w:hAnsi="宋体" w:cs="Arial"/>
          <w:b/>
          <w:color w:val="000000"/>
          <w:kern w:val="36"/>
          <w:sz w:val="24"/>
          <w:szCs w:val="24"/>
        </w:rPr>
        <w:t>DRG/DIP</w:t>
      </w:r>
      <w:r w:rsidRPr="00377D80">
        <w:rPr>
          <w:rFonts w:ascii="宋体" w:eastAsia="宋体" w:hAnsi="宋体" w:cs="Arial"/>
          <w:b/>
          <w:color w:val="000000"/>
          <w:kern w:val="36"/>
          <w:sz w:val="24"/>
          <w:szCs w:val="24"/>
        </w:rPr>
        <w:t>支付改革对医疗设备管理的深远影响</w:t>
      </w:r>
    </w:p>
    <w:p w:rsid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随着DRG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（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Diagnosis Related Groups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,疾病诊断相关分组）与 DIP（</w:t>
      </w:r>
      <w:r w:rsidR="00B72AB3" w:rsidRPr="00B72AB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  <w:r w:rsidR="00B72AB3" w:rsidRPr="00B72AB3">
        <w:rPr>
          <w:rFonts w:ascii="宋体" w:eastAsia="宋体" w:hAnsi="宋体" w:cs="Arial"/>
          <w:color w:val="000000"/>
          <w:kern w:val="0"/>
          <w:sz w:val="24"/>
          <w:szCs w:val="24"/>
        </w:rPr>
        <w:t>Diagnosis-Intervention Packet</w:t>
      </w:r>
      <w:r w:rsidR="00B72AB3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，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按病种分值付费）支付改革在全国医疗机构全面落地，我国医保支付方式正从传统“按项目付费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的后付制，向“打包付费、结余留用、超支自担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的预付制深度转型。这场改革对医疗设备管理的全流程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——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从采购规划、配</w:t>
      </w:r>
      <w:r w:rsidR="00B72AB3">
        <w:rPr>
          <w:rFonts w:ascii="宋体" w:eastAsia="宋体" w:hAnsi="宋体" w:cs="Arial"/>
          <w:color w:val="000000"/>
          <w:kern w:val="0"/>
          <w:sz w:val="24"/>
          <w:szCs w:val="24"/>
        </w:rPr>
        <w:t>置使用、运维管控到价值评估，带来颠覆性、深远性的变革。医疗设备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加速转变为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DRG/DIP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病组成本结构的核心组成部分，精细化、数字化、价值化的设备管理新模式，成为医院适应改革、保障质量、实现可持续发展的关键能力。</w:t>
      </w:r>
    </w:p>
    <w:p w:rsidR="00B72AB3" w:rsidRPr="00377D80" w:rsidRDefault="00B72AB3" w:rsidP="00FF5B10">
      <w:pPr>
        <w:widowControl/>
        <w:spacing w:afterLines="50" w:after="156" w:line="360" w:lineRule="auto"/>
        <w:jc w:val="center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2964490" wp14:editId="451A1229">
            <wp:extent cx="4195763" cy="3775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6725" cy="37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2"/>
        <w:jc w:val="left"/>
        <w:outlineLvl w:val="2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管理逻辑重构：从“规模扩张</w:t>
      </w:r>
      <w:r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到“价值导向</w:t>
      </w:r>
      <w:r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的根本转变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传统医疗设备管理以学科发展、技术升级、诊疗覆盖为核心，采购决策侧重技术参数、品牌口碑与临床需求，设备运行以“保障使用、提升收入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为目标，管理模式偏粗放。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DRG/DIP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改革下，每个病组医保支付标准固定，设备购置成本、耗材消耗、运维费用、折旧损耗均直接计入病组成本，直接影响医院与科室盈亏。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lastRenderedPageBreak/>
        <w:t>这一变化推动设备管理逻辑发生三大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转变：</w:t>
      </w:r>
    </w:p>
    <w:p w:rsidR="00377D80" w:rsidRPr="00377D80" w:rsidRDefault="00377D80" w:rsidP="00377D80">
      <w:pPr>
        <w:widowControl/>
        <w:numPr>
          <w:ilvl w:val="0"/>
          <w:numId w:val="1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从 “创收工具” 到 “成本中心”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：设备不再是增加检查、治疗收入的手段，而是需严格管控的成本单元，每台设备的使用效率、耗材消耗、运维支出，都直接关联 DRG/DIP 病组成本是否可控。</w:t>
      </w:r>
    </w:p>
    <w:p w:rsidR="00377D80" w:rsidRPr="00377D80" w:rsidRDefault="00377D80" w:rsidP="00377D80">
      <w:pPr>
        <w:widowControl/>
        <w:numPr>
          <w:ilvl w:val="0"/>
          <w:numId w:val="1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从 “学科导向” 到 “病种导向”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：设备配置不再单纯围绕学科建设，而是紧密匹配医院 DRG/DIP 病组结构，优先保障高 CMI（病例组合指数）病种、核心诊疗病种所需设备，淘汰低效益、低使用率设备。</w:t>
      </w:r>
    </w:p>
    <w:p w:rsidR="00377D80" w:rsidRPr="00377D80" w:rsidRDefault="00377D80" w:rsidP="00377D80">
      <w:pPr>
        <w:widowControl/>
        <w:numPr>
          <w:ilvl w:val="0"/>
          <w:numId w:val="1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从 “重采购、轻管理” 到 “全生命周期管控”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：管理重心从单一采购环节，延伸至采购、使用、运维、折旧、报废全流程，核心目标从 “拥有设备” 转向 “高效利用设备、最大化临床价值与成本效益”。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2"/>
        <w:jc w:val="left"/>
        <w:outlineLvl w:val="2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采购规划变革：精准配置、性价比与全生命周期成本成核心标准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DRG/DIP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支付下，医院设备采购彻底告别 “盲目扩量、唯技术论、唯品牌论”，转向</w:t>
      </w: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数据驱动、精准测算、价值优先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的精细化采购模式。</w:t>
      </w:r>
    </w:p>
    <w:p w:rsidR="00377D80" w:rsidRPr="00377D80" w:rsidRDefault="00377D80" w:rsidP="00377D80">
      <w:pPr>
        <w:widowControl/>
        <w:numPr>
          <w:ilvl w:val="0"/>
          <w:numId w:val="2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采购决策：以病组成本与效益为核心依据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采购前需全面评估设备与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DRG/DIP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病组的匹配度：测算设备服务病种的支付标准、预计使用频次、单病例设备及耗材消耗成本，评估设备投入能否在病组支付标准内实现成本覆盖与效益平衡。优先采购 “高适配、高产出、低消耗” 设备，对超出病组成本承受能力、效益不达标的设备，坚决不予配置。</w:t>
      </w:r>
    </w:p>
    <w:p w:rsidR="00377D80" w:rsidRPr="00377D80" w:rsidRDefault="00377D80" w:rsidP="00377D80">
      <w:pPr>
        <w:widowControl/>
        <w:numPr>
          <w:ilvl w:val="0"/>
          <w:numId w:val="2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评估维度：从单一价格到全生命周期成本（LCC）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设备成本不再局限于采购价，而是涵盖采购、安装、培训、维保、耗材、能耗、维修、折旧直至报废的全部费用。采购决策需综合对比不同设备的全生命周期成本与临床产出效益，选择 “性价比最优” 方案，而非单纯低价或高端高价。同时强化供应商评估，将质保时长、维保响应速度、耗材供应稳定性、技术支持能力纳入核心指标。</w:t>
      </w:r>
    </w:p>
    <w:p w:rsidR="00377D80" w:rsidRPr="00377D80" w:rsidRDefault="00377D80" w:rsidP="00377D80">
      <w:pPr>
        <w:widowControl/>
        <w:numPr>
          <w:ilvl w:val="0"/>
          <w:numId w:val="2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配置策略：共享共用、盘活存量、严控重复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lastRenderedPageBreak/>
        <w:t>推行跨科室设备共享机制，建设影像、检验、内镜、手术等中心化设备平台，避免 “一科一机” 的重复采购，摊薄设备使用成本；优先通过软件升级、部件更换、性能优化盘活存量设备，延长使用寿命、降低新增投入；严格控制高端设备、小众设备配置，仅针对核心病种、刚需诊疗场景按需配置。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2"/>
        <w:jc w:val="left"/>
        <w:outlineLvl w:val="2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运行管控升级：精细化、数字化、闭环化成必然要求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DRG/DIP 改革要求设备使用与成本精准归因至单病例、单病组，传统人工记录、粗放管控模式已无法满足需求，</w:t>
      </w: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数字化、精细化、闭环化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成为设备运行管理的核心方向。</w:t>
      </w:r>
    </w:p>
    <w:p w:rsidR="00377D80" w:rsidRPr="00377D80" w:rsidRDefault="00377D80" w:rsidP="00377D80">
      <w:pPr>
        <w:widowControl/>
        <w:numPr>
          <w:ilvl w:val="0"/>
          <w:numId w:val="3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成本精准核算：设备使用与病组成本深度绑定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建立设备使用与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DRG/DIP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病组的关联核算体系，实时统计单台设备、单个病种的设备使用时长、耗材消耗量、运维分摊成本，实现“一设备一档案、一病种一成本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的精准核算。通过成本数据动态监测，及时预警超支病种、超耗设备，为临床路径优化、耗材使用规范提供数据支撑。</w:t>
      </w:r>
    </w:p>
    <w:p w:rsidR="00377D80" w:rsidRPr="00377D80" w:rsidRDefault="00377D80" w:rsidP="00377D80">
      <w:pPr>
        <w:widowControl/>
        <w:numPr>
          <w:ilvl w:val="0"/>
          <w:numId w:val="3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耗材智能管控：高值耗材全流程闭环追溯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高值耗材是 DRG/DIP 病组成本的重要构成，改革推动耗材管理从 “二级库粗放管理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向 “RFID 智能柜、SPD 智能供应链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”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升级。通过物联网、二维码 / RFID 技术，实现耗材从采购、入库、申领、使用到结算的全流程追溯，精准记录耗材使用病例、术式、医师，杜绝浪费、流失、误用，确保耗材成本 100% 归因至对应病组。</w:t>
      </w:r>
    </w:p>
    <w:p w:rsidR="00377D80" w:rsidRPr="00377D80" w:rsidRDefault="00377D80" w:rsidP="00377D80">
      <w:pPr>
        <w:widowControl/>
        <w:numPr>
          <w:ilvl w:val="0"/>
          <w:numId w:val="3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运维模式优化：从被动维修到预防性维护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设备故障停机不仅影响诊疗秩序，更会延长平均住院日、增加病组隐性成本。DRG/DIP 时代，设备运维从 “故障后维修” 转向 “预防性维护（PM）”，依托物联网技术实时监测设备运行状态、损耗情况，基于大数据预测故障风险，定期开展保养、校准。同时优化维保策略，通过打包维保、第三方维保降低运维成本，保障设备稳定运行。</w:t>
      </w:r>
    </w:p>
    <w:p w:rsidR="00377D80" w:rsidRPr="00377D80" w:rsidRDefault="00377D80" w:rsidP="00377D80">
      <w:pPr>
        <w:widowControl/>
        <w:numPr>
          <w:ilvl w:val="0"/>
          <w:numId w:val="3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使用效率提升：强化绩效考核与临床协同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lastRenderedPageBreak/>
        <w:t>将设备利用率、单机效益、耗材占比、成本控制率纳入科室与个人绩效考核，与 DRG/DIP 结余留用资金直接挂钩。推动临床科室规范设备使用、优化诊疗流程、减少不必要检查与耗材消耗，在保障医疗质量的前提下，提升设备使用效率、降低单位病例成本。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2"/>
        <w:jc w:val="left"/>
        <w:outlineLvl w:val="2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价值评估重塑：医疗质量、成本效益与合规性三位一体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DRG/DIP 改革下，设备管理价值不再以 “设备数量、技术等级、收入规模” 衡量，而是形成</w:t>
      </w: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医疗质量、成本效益、合规运营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三位一体的评估体系。</w:t>
      </w:r>
    </w:p>
    <w:p w:rsidR="00377D80" w:rsidRPr="00377D80" w:rsidRDefault="00377D80" w:rsidP="00377D80">
      <w:pPr>
        <w:widowControl/>
        <w:numPr>
          <w:ilvl w:val="0"/>
          <w:numId w:val="4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质量与安全优先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：设备性能、精度、稳定性直接影响诊疗质量与 DRG/DIP 病组安全指标（如低风险死亡率、手术并发症发生率、31 日再住院率），设备管理必须以保障质量安全为底线，杜绝因设备问题导致的医疗风险与成本超支。</w:t>
      </w:r>
    </w:p>
    <w:p w:rsidR="00377D80" w:rsidRPr="00377D80" w:rsidRDefault="00377D80" w:rsidP="00377D80">
      <w:pPr>
        <w:widowControl/>
        <w:numPr>
          <w:ilvl w:val="0"/>
          <w:numId w:val="4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成本效益为核心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：核心评估设备对病组成本控制、结余留存的贡献度，优先保障 “低成本、高适配、高效益” 设备运行，对效益低下、成本超支的设备及时优化或淘汰。</w:t>
      </w:r>
    </w:p>
    <w:p w:rsidR="00377D80" w:rsidRPr="00377D80" w:rsidRDefault="00377D80" w:rsidP="00377D80">
      <w:pPr>
        <w:widowControl/>
        <w:numPr>
          <w:ilvl w:val="0"/>
          <w:numId w:val="4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合规运营为底线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：严格遵守医保监管、国密合规、数据安全、医疗设备管理相关规定，设备使用、耗材消耗、成本核算全程可追溯、可审计，满足等保、密评及医疗行业数据安全要求。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2"/>
        <w:jc w:val="left"/>
        <w:outlineLvl w:val="2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惠泽智信：以数字化方案赋能DRG/DIP 时代设备管理升级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面对 DRG/DIP 支付改革带来的深远变革，惠泽智信深耕医疗设备与数据安全领域，依托</w:t>
      </w: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国密合规、信创兼容、全链路数字化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技术能力，为医疗机构提供覆盖设备全生命周期的智能化管理解决方案。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方案核心优势：</w:t>
      </w:r>
    </w:p>
    <w:p w:rsidR="00377D80" w:rsidRPr="00377D80" w:rsidRDefault="00377D80" w:rsidP="00377D80">
      <w:pPr>
        <w:widowControl/>
        <w:numPr>
          <w:ilvl w:val="0"/>
          <w:numId w:val="5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全生命周期成本管控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：覆盖设备采购、入库、使用、运维、折旧、报废全流程，精准核算单设备、单病种成本，动态监测超支预警，助力医院实现成本精细化管控。</w:t>
      </w:r>
    </w:p>
    <w:p w:rsidR="00377D80" w:rsidRPr="00377D80" w:rsidRDefault="00377D80" w:rsidP="00377D80">
      <w:pPr>
        <w:widowControl/>
        <w:numPr>
          <w:ilvl w:val="0"/>
          <w:numId w:val="5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lastRenderedPageBreak/>
        <w:t>国密级数据安全保障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：依托 KMS 密钥管理体系，采用 SM4 国密算法实现设备数据、成本数据、诊疗数据加密存储，密钥集中管控、操作全程溯源，全面符合等保、国密及医疗行业数据安全标准。</w:t>
      </w:r>
    </w:p>
    <w:p w:rsidR="00377D80" w:rsidRPr="00377D80" w:rsidRDefault="00377D80" w:rsidP="00377D80">
      <w:pPr>
        <w:widowControl/>
        <w:numPr>
          <w:ilvl w:val="0"/>
          <w:numId w:val="5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信创与传统环境双兼容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：深度适配全栈信创生态，同时兼容传统软硬件环境，保障系统在多元部署场景下稳定运行，支撑医院不同阶段信息化建设与项目平稳落地。</w:t>
      </w:r>
    </w:p>
    <w:p w:rsidR="00377D80" w:rsidRPr="00377D80" w:rsidRDefault="00377D80" w:rsidP="00377D80">
      <w:pPr>
        <w:widowControl/>
        <w:numPr>
          <w:ilvl w:val="0"/>
          <w:numId w:val="5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智能耗材闭环管理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：融合 RFID、物联网技术，实现高值耗材全流程追溯、智能申领、效期预警、精准归因，有效降低耗材损耗与成本流失。</w:t>
      </w:r>
    </w:p>
    <w:p w:rsidR="00377D80" w:rsidRPr="00377D80" w:rsidRDefault="00377D80" w:rsidP="00377D80">
      <w:pPr>
        <w:widowControl/>
        <w:numPr>
          <w:ilvl w:val="0"/>
          <w:numId w:val="5"/>
        </w:numPr>
        <w:spacing w:afterLines="50" w:after="156" w:line="360" w:lineRule="auto"/>
        <w:ind w:left="0" w:firstLineChars="200" w:firstLine="482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  <w:t>数据驱动决策支持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：整合设备运行、成本核算、DRG/DIP 病组数据，通过大数据分析生成多维度报表，为设备采购、配置优化、绩效考核提供科学依据。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DRG/DIP 支付改革是我国医疗保障体系的深刻变革，更是医疗设备管理模式的全新起点。从粗放扩张到精细管控，从规模导向到价值优先，从分散管理到数字协同，设备管理的每一次升级，都直接关系医院在改革浪潮中的核心竞争力。</w:t>
      </w:r>
    </w:p>
    <w:p w:rsidR="00377D80" w:rsidRPr="00377D80" w:rsidRDefault="00377D80" w:rsidP="00377D80">
      <w:pPr>
        <w:widowControl/>
        <w:spacing w:afterLines="50" w:after="156"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惠泽智信将持续深耕医疗设备数字化与安全合规领域，以技术创新赋能医疗机构适应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DRG/DIP</w:t>
      </w:r>
      <w:r w:rsidRPr="00377D80">
        <w:rPr>
          <w:rFonts w:ascii="宋体" w:eastAsia="宋体" w:hAnsi="宋体" w:cs="Arial"/>
          <w:color w:val="000000"/>
          <w:kern w:val="0"/>
          <w:sz w:val="24"/>
          <w:szCs w:val="24"/>
        </w:rPr>
        <w:t>改革，助力医院实现医疗质量、成本效益、运营效率的协同提升，为推动医疗行业高质量发展、构建高效可持续的医疗保障体系贡献专业力量。</w:t>
      </w:r>
    </w:p>
    <w:p w:rsidR="00377D80" w:rsidRPr="00C376E9" w:rsidRDefault="00377D80" w:rsidP="00377D80">
      <w:pPr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（</w:t>
      </w:r>
      <w:r w:rsidRPr="00C376E9">
        <w:rPr>
          <w:rFonts w:ascii="宋体" w:eastAsia="宋体" w:hAnsi="宋体"/>
          <w:sz w:val="20"/>
        </w:rPr>
        <w:t>本文为基于行业公开信息的趋势解读，仅供交流参考。</w:t>
      </w:r>
      <w:r>
        <w:rPr>
          <w:rFonts w:ascii="宋体" w:eastAsia="宋体" w:hAnsi="宋体" w:hint="eastAsia"/>
          <w:sz w:val="20"/>
        </w:rPr>
        <w:t>）</w:t>
      </w:r>
    </w:p>
    <w:p w:rsidR="005D308E" w:rsidRPr="00377D80" w:rsidRDefault="005D308E" w:rsidP="00377D80">
      <w:pPr>
        <w:spacing w:afterLines="50" w:after="156" w:line="360" w:lineRule="auto"/>
        <w:ind w:firstLineChars="200" w:firstLine="420"/>
        <w:rPr>
          <w:rFonts w:ascii="宋体" w:eastAsia="宋体" w:hAnsi="宋体"/>
        </w:rPr>
      </w:pPr>
    </w:p>
    <w:sectPr w:rsidR="005D308E" w:rsidRPr="00377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44" w:rsidRDefault="002A3144" w:rsidP="00377D80">
      <w:r>
        <w:separator/>
      </w:r>
    </w:p>
  </w:endnote>
  <w:endnote w:type="continuationSeparator" w:id="0">
    <w:p w:rsidR="002A3144" w:rsidRDefault="002A3144" w:rsidP="0037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44" w:rsidRDefault="002A3144" w:rsidP="00377D80">
      <w:r>
        <w:separator/>
      </w:r>
    </w:p>
  </w:footnote>
  <w:footnote w:type="continuationSeparator" w:id="0">
    <w:p w:rsidR="002A3144" w:rsidRDefault="002A3144" w:rsidP="0037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96"/>
    <w:multiLevelType w:val="multilevel"/>
    <w:tmpl w:val="9B10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864C7"/>
    <w:multiLevelType w:val="multilevel"/>
    <w:tmpl w:val="C6F6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0B90"/>
    <w:multiLevelType w:val="multilevel"/>
    <w:tmpl w:val="6F0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F74BF"/>
    <w:multiLevelType w:val="multilevel"/>
    <w:tmpl w:val="1350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735D1"/>
    <w:multiLevelType w:val="multilevel"/>
    <w:tmpl w:val="8236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61"/>
    <w:rsid w:val="000E22CC"/>
    <w:rsid w:val="002A3144"/>
    <w:rsid w:val="00377D80"/>
    <w:rsid w:val="003A1D83"/>
    <w:rsid w:val="005D308E"/>
    <w:rsid w:val="00673219"/>
    <w:rsid w:val="00B72AB3"/>
    <w:rsid w:val="00E431B0"/>
    <w:rsid w:val="00E503D7"/>
    <w:rsid w:val="00E54E61"/>
    <w:rsid w:val="00F009C2"/>
    <w:rsid w:val="00F15AED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4E40E"/>
  <w15:chartTrackingRefBased/>
  <w15:docId w15:val="{F7506181-F96B-4689-9E07-EBD1DDD8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77D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77D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D8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77D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377D80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377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2026-04-23T07:56:00Z</dcterms:created>
  <dcterms:modified xsi:type="dcterms:W3CDTF">2026-04-23T08:45:00Z</dcterms:modified>
</cp:coreProperties>
</file>